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0153A" w14:textId="77777777" w:rsidR="00886963" w:rsidRDefault="00886963" w:rsidP="00E7124A">
      <w:pPr>
        <w:rPr>
          <w:b/>
          <w:bCs/>
        </w:rPr>
      </w:pPr>
    </w:p>
    <w:p w14:paraId="44FF7A5C" w14:textId="46A4D061" w:rsidR="00E7124A" w:rsidRPr="00E7124A" w:rsidRDefault="00E7124A" w:rsidP="00E7124A">
      <w:pPr>
        <w:rPr>
          <w:b/>
          <w:bCs/>
        </w:rPr>
      </w:pPr>
      <w:r w:rsidRPr="00E7124A">
        <w:rPr>
          <w:b/>
          <w:bCs/>
        </w:rPr>
        <w:t xml:space="preserve">Justification Toolkit </w:t>
      </w:r>
    </w:p>
    <w:p w14:paraId="1805E47B" w14:textId="7FC5254A" w:rsidR="00E7124A" w:rsidRPr="00E7124A" w:rsidRDefault="00E7124A" w:rsidP="00E7124A">
      <w:r w:rsidRPr="00E7124A">
        <w:t xml:space="preserve">The </w:t>
      </w:r>
      <w:r>
        <w:t>Transact</w:t>
      </w:r>
      <w:r w:rsidRPr="00E7124A">
        <w:t xml:space="preserve"> + CBORD Annual User Conference is the most valuable opportunity for higher ed </w:t>
      </w:r>
      <w:r w:rsidR="006F13D0">
        <w:t xml:space="preserve">and healthcare </w:t>
      </w:r>
      <w:r w:rsidRPr="00E7124A">
        <w:t>professionals to explore new tools, optimize operations, and connect with peers and industry leaders. This toolkit will help you clearly communicate the benefits of attending the 2026 conference to your supervisor.</w:t>
      </w:r>
    </w:p>
    <w:p w14:paraId="478FE102" w14:textId="5DA4E7DB" w:rsidR="00E7124A" w:rsidRPr="00E7124A" w:rsidRDefault="00FA5432" w:rsidP="00E7124A">
      <w:r>
        <w:rPr>
          <w:color w:val="2280D2"/>
        </w:rPr>
        <w:pict w14:anchorId="2E2F008E">
          <v:rect id="_x0000_i1025" style="width:540pt;height:1.5pt" o:hralign="center" o:hrstd="t" o:hrnoshade="t" o:hr="t" fillcolor="#0070c0" stroked="f"/>
        </w:pict>
      </w:r>
    </w:p>
    <w:p w14:paraId="56037684" w14:textId="77777777" w:rsidR="00E7124A" w:rsidRPr="00E7124A" w:rsidRDefault="00E7124A" w:rsidP="00E7124A">
      <w:pPr>
        <w:rPr>
          <w:b/>
          <w:bCs/>
          <w:color w:val="2280D2"/>
        </w:rPr>
      </w:pPr>
      <w:r w:rsidRPr="00E7124A">
        <w:rPr>
          <w:b/>
          <w:bCs/>
          <w:color w:val="2280D2"/>
        </w:rPr>
        <w:t>EVENT DETAILS</w:t>
      </w:r>
    </w:p>
    <w:p w14:paraId="1B6D9540" w14:textId="5D6EF5D6" w:rsidR="00E7124A" w:rsidRPr="00601B54" w:rsidRDefault="00E7124A" w:rsidP="00601B54">
      <w:pPr>
        <w:pStyle w:val="NoSpacing"/>
      </w:pPr>
      <w:r w:rsidRPr="00E7124A">
        <w:rPr>
          <w:b/>
          <w:bCs/>
        </w:rPr>
        <w:t>Conference Name</w:t>
      </w:r>
      <w:r w:rsidRPr="00E7124A">
        <w:t>: 2026 Annual Conference</w:t>
      </w:r>
      <w:r w:rsidR="00305492">
        <w:t xml:space="preserve"> (Transact +CBORD)</w:t>
      </w:r>
      <w:r w:rsidRPr="00E7124A">
        <w:br/>
      </w:r>
      <w:r w:rsidRPr="00E7124A">
        <w:rPr>
          <w:b/>
          <w:bCs/>
        </w:rPr>
        <w:t>Dates</w:t>
      </w:r>
      <w:r w:rsidRPr="00E7124A">
        <w:t>: March 2–5, 2026</w:t>
      </w:r>
      <w:r w:rsidRPr="00E7124A">
        <w:br/>
      </w:r>
      <w:r w:rsidRPr="00E7124A">
        <w:rPr>
          <w:b/>
          <w:bCs/>
        </w:rPr>
        <w:t>Location</w:t>
      </w:r>
      <w:r w:rsidRPr="00E7124A">
        <w:t>: Gaylord Opryland Resort &amp; Convention Center, Nashville, TN</w:t>
      </w:r>
      <w:r w:rsidRPr="00E7124A">
        <w:br/>
      </w:r>
      <w:r w:rsidRPr="00E7124A">
        <w:rPr>
          <w:b/>
          <w:bCs/>
        </w:rPr>
        <w:t>Expected Attendance</w:t>
      </w:r>
      <w:r w:rsidRPr="00E7124A">
        <w:t xml:space="preserve">: </w:t>
      </w:r>
      <w:r w:rsidR="00BF57B1" w:rsidRPr="00BF57B1">
        <w:t>750+ campus and healthcare professionals, 45+ exhibitors</w:t>
      </w:r>
    </w:p>
    <w:p w14:paraId="2A5D6D10" w14:textId="77777777" w:rsidR="00601B54" w:rsidRDefault="00601B54" w:rsidP="00601B54">
      <w:pPr>
        <w:pStyle w:val="NoSpacing"/>
        <w:rPr>
          <w:b/>
          <w:bCs/>
          <w:color w:val="0070C0"/>
        </w:rPr>
      </w:pPr>
    </w:p>
    <w:p w14:paraId="6A676644" w14:textId="4E2CDE6A" w:rsidR="00E7124A" w:rsidRPr="00315BC3" w:rsidRDefault="00E7124A" w:rsidP="00601B54">
      <w:pPr>
        <w:pStyle w:val="NoSpacing"/>
        <w:rPr>
          <w:b/>
          <w:bCs/>
          <w:color w:val="2280D2"/>
        </w:rPr>
      </w:pPr>
      <w:r w:rsidRPr="00315BC3">
        <w:rPr>
          <w:b/>
          <w:bCs/>
          <w:color w:val="2280D2"/>
        </w:rPr>
        <w:t>HOW TO JUSTIFY YOUR ATTENDANCE</w:t>
      </w:r>
    </w:p>
    <w:p w14:paraId="1BCB2CED" w14:textId="30FDC0DA" w:rsidR="00E7124A" w:rsidRPr="00E7124A" w:rsidRDefault="00E7124A" w:rsidP="00E7124A">
      <w:pPr>
        <w:numPr>
          <w:ilvl w:val="0"/>
          <w:numId w:val="1"/>
        </w:numPr>
      </w:pPr>
      <w:r w:rsidRPr="00E7124A">
        <w:rPr>
          <w:b/>
          <w:bCs/>
        </w:rPr>
        <w:t>Focus on ROI</w:t>
      </w:r>
      <w:r w:rsidRPr="00E7124A">
        <w:t>: Explain what you'll bring back—improved workflows, new tools, vendor contacts, and peer-proven practices</w:t>
      </w:r>
      <w:r w:rsidR="00BF57B1">
        <w:t xml:space="preserve"> </w:t>
      </w:r>
      <w:r w:rsidR="00BF57B1" w:rsidRPr="00BF57B1">
        <w:t>tailored to higher education or healthcare environments.</w:t>
      </w:r>
    </w:p>
    <w:p w14:paraId="5C873AFD" w14:textId="77777777" w:rsidR="00E7124A" w:rsidRPr="00E7124A" w:rsidRDefault="00E7124A" w:rsidP="00E7124A">
      <w:pPr>
        <w:numPr>
          <w:ilvl w:val="0"/>
          <w:numId w:val="1"/>
        </w:numPr>
      </w:pPr>
      <w:r w:rsidRPr="00E7124A">
        <w:rPr>
          <w:b/>
          <w:bCs/>
        </w:rPr>
        <w:t>Share the Value</w:t>
      </w:r>
      <w:r w:rsidRPr="00E7124A">
        <w:t>: Offer to present key takeaways and provide session materials to your team.</w:t>
      </w:r>
    </w:p>
    <w:p w14:paraId="4AEEF345" w14:textId="77777777" w:rsidR="00E7124A" w:rsidRPr="00E7124A" w:rsidRDefault="00E7124A" w:rsidP="00E7124A">
      <w:pPr>
        <w:numPr>
          <w:ilvl w:val="0"/>
          <w:numId w:val="1"/>
        </w:numPr>
      </w:pPr>
      <w:r w:rsidRPr="00E7124A">
        <w:rPr>
          <w:b/>
          <w:bCs/>
        </w:rPr>
        <w:t>Highlight Professional Growth</w:t>
      </w:r>
      <w:r w:rsidRPr="00E7124A">
        <w:t>: Emphasize CEU opportunities, product certifications, and skill development.</w:t>
      </w:r>
    </w:p>
    <w:p w14:paraId="175990A3" w14:textId="00344DB7" w:rsidR="00E7124A" w:rsidRPr="00E7124A" w:rsidRDefault="00E7124A" w:rsidP="00601B54">
      <w:pPr>
        <w:pStyle w:val="NoSpacing"/>
        <w:numPr>
          <w:ilvl w:val="0"/>
          <w:numId w:val="1"/>
        </w:numPr>
      </w:pPr>
      <w:r w:rsidRPr="00E7124A">
        <w:rPr>
          <w:b/>
          <w:bCs/>
        </w:rPr>
        <w:t>Prepare for Coverage</w:t>
      </w:r>
      <w:r w:rsidRPr="00E7124A">
        <w:t>: Outline your plan to ensure responsibilities are covered while you're away.</w:t>
      </w:r>
    </w:p>
    <w:p w14:paraId="25D8F8E2" w14:textId="77777777" w:rsidR="00601B54" w:rsidRDefault="00601B54" w:rsidP="00601B54">
      <w:pPr>
        <w:pStyle w:val="NoSpacing"/>
        <w:rPr>
          <w:b/>
          <w:bCs/>
        </w:rPr>
      </w:pPr>
    </w:p>
    <w:p w14:paraId="620E78A2" w14:textId="63614676" w:rsidR="00E7124A" w:rsidRPr="00315BC3" w:rsidRDefault="00E7124A" w:rsidP="00601B54">
      <w:pPr>
        <w:pStyle w:val="NoSpacing"/>
        <w:rPr>
          <w:b/>
          <w:bCs/>
          <w:color w:val="2280D2"/>
        </w:rPr>
      </w:pPr>
      <w:r w:rsidRPr="00315BC3">
        <w:rPr>
          <w:b/>
          <w:bCs/>
          <w:color w:val="2280D2"/>
        </w:rPr>
        <w:t>BENEFITS OF ATTENDING</w:t>
      </w:r>
    </w:p>
    <w:p w14:paraId="6036BA43" w14:textId="194BDB17" w:rsidR="00E7124A" w:rsidRPr="00601B54" w:rsidRDefault="00E7124A" w:rsidP="00E7124A">
      <w:pPr>
        <w:pStyle w:val="NoSpacing"/>
        <w:rPr>
          <w:b/>
          <w:bCs/>
        </w:rPr>
      </w:pPr>
      <w:r w:rsidRPr="00601B54">
        <w:rPr>
          <w:b/>
          <w:bCs/>
        </w:rPr>
        <w:t>Tailored Content:</w:t>
      </w:r>
    </w:p>
    <w:p w14:paraId="2E948D42" w14:textId="77777777" w:rsidR="00E7124A" w:rsidRPr="00601B54" w:rsidRDefault="00E7124A" w:rsidP="00E7124A">
      <w:pPr>
        <w:pStyle w:val="NoSpacing"/>
        <w:numPr>
          <w:ilvl w:val="0"/>
          <w:numId w:val="7"/>
        </w:numPr>
      </w:pPr>
      <w:r w:rsidRPr="00601B54">
        <w:t>Bursar &amp; finance operations</w:t>
      </w:r>
    </w:p>
    <w:p w14:paraId="13FBEC8E" w14:textId="77777777" w:rsidR="00E7124A" w:rsidRPr="00601B54" w:rsidRDefault="00E7124A" w:rsidP="00E7124A">
      <w:pPr>
        <w:pStyle w:val="NoSpacing"/>
        <w:numPr>
          <w:ilvl w:val="0"/>
          <w:numId w:val="7"/>
        </w:numPr>
      </w:pPr>
      <w:r w:rsidRPr="00601B54">
        <w:t>Credentialing &amp; campus security</w:t>
      </w:r>
    </w:p>
    <w:p w14:paraId="42AEB351" w14:textId="77777777" w:rsidR="00E7124A" w:rsidRPr="00601B54" w:rsidRDefault="00E7124A" w:rsidP="00E7124A">
      <w:pPr>
        <w:pStyle w:val="NoSpacing"/>
        <w:numPr>
          <w:ilvl w:val="0"/>
          <w:numId w:val="7"/>
        </w:numPr>
      </w:pPr>
      <w:r w:rsidRPr="00601B54">
        <w:t>Auxiliary &amp; dining services</w:t>
      </w:r>
    </w:p>
    <w:p w14:paraId="4321F8F3" w14:textId="77777777" w:rsidR="00E7124A" w:rsidRDefault="00E7124A" w:rsidP="00E7124A">
      <w:pPr>
        <w:pStyle w:val="NoSpacing"/>
        <w:numPr>
          <w:ilvl w:val="0"/>
          <w:numId w:val="7"/>
        </w:numPr>
      </w:pPr>
      <w:r w:rsidRPr="00601B54">
        <w:t>Payments, commerce, and mobile innovation</w:t>
      </w:r>
    </w:p>
    <w:p w14:paraId="0E9B7D24" w14:textId="11CDA1AC" w:rsidR="00BF57B1" w:rsidRDefault="00BF57B1" w:rsidP="00E7124A">
      <w:pPr>
        <w:pStyle w:val="NoSpacing"/>
        <w:numPr>
          <w:ilvl w:val="0"/>
          <w:numId w:val="7"/>
        </w:numPr>
      </w:pPr>
      <w:r w:rsidRPr="00BF57B1">
        <w:t>Healthcare nutrition, patient dining, and foodservice management</w:t>
      </w:r>
    </w:p>
    <w:p w14:paraId="1892D449" w14:textId="54137C1B" w:rsidR="00BF57B1" w:rsidRPr="00601B54" w:rsidRDefault="00BF57B1" w:rsidP="00E7124A">
      <w:pPr>
        <w:pStyle w:val="NoSpacing"/>
        <w:numPr>
          <w:ilvl w:val="0"/>
          <w:numId w:val="7"/>
        </w:numPr>
      </w:pPr>
      <w:r>
        <w:t>O</w:t>
      </w:r>
      <w:r w:rsidRPr="00BF57B1">
        <w:t>perational best practices for healthcare facilities</w:t>
      </w:r>
    </w:p>
    <w:p w14:paraId="09DCB078" w14:textId="77777777" w:rsidR="00E7124A" w:rsidRPr="00601B54" w:rsidRDefault="00E7124A" w:rsidP="00E7124A">
      <w:pPr>
        <w:pStyle w:val="NoSpacing"/>
      </w:pPr>
    </w:p>
    <w:p w14:paraId="095869E8" w14:textId="6C1557F8" w:rsidR="00E7124A" w:rsidRPr="00601B54" w:rsidRDefault="00E7124A" w:rsidP="00E7124A">
      <w:pPr>
        <w:pStyle w:val="NoSpacing"/>
        <w:rPr>
          <w:b/>
          <w:bCs/>
        </w:rPr>
      </w:pPr>
      <w:r w:rsidRPr="00601B54">
        <w:rPr>
          <w:b/>
          <w:bCs/>
        </w:rPr>
        <w:t>Strategic Networking:</w:t>
      </w:r>
    </w:p>
    <w:p w14:paraId="1FE3A4C7" w14:textId="77777777" w:rsidR="00E7124A" w:rsidRPr="00601B54" w:rsidRDefault="00E7124A" w:rsidP="00E7124A">
      <w:pPr>
        <w:pStyle w:val="NoSpacing"/>
        <w:numPr>
          <w:ilvl w:val="0"/>
          <w:numId w:val="9"/>
        </w:numPr>
      </w:pPr>
      <w:r w:rsidRPr="00601B54">
        <w:t>Connect with higher ed leaders using Transact and CBORD</w:t>
      </w:r>
    </w:p>
    <w:p w14:paraId="7B35224F" w14:textId="77777777" w:rsidR="00E7124A" w:rsidRPr="00601B54" w:rsidRDefault="00E7124A" w:rsidP="00E7124A">
      <w:pPr>
        <w:pStyle w:val="NoSpacing"/>
        <w:numPr>
          <w:ilvl w:val="0"/>
          <w:numId w:val="8"/>
        </w:numPr>
      </w:pPr>
      <w:r w:rsidRPr="00601B54">
        <w:t>Build relationships with vendors and integration partners</w:t>
      </w:r>
    </w:p>
    <w:p w14:paraId="40721D7F" w14:textId="77777777" w:rsidR="00E7124A" w:rsidRPr="00601B54" w:rsidRDefault="00E7124A" w:rsidP="00E7124A">
      <w:pPr>
        <w:pStyle w:val="NoSpacing"/>
        <w:numPr>
          <w:ilvl w:val="0"/>
          <w:numId w:val="8"/>
        </w:numPr>
      </w:pPr>
      <w:r w:rsidRPr="00601B54">
        <w:t>Join peer-driven roundtables to discuss challenges and successes</w:t>
      </w:r>
    </w:p>
    <w:p w14:paraId="135F37FC" w14:textId="77777777" w:rsidR="00E7124A" w:rsidRPr="00601B54" w:rsidRDefault="00E7124A" w:rsidP="00E7124A">
      <w:pPr>
        <w:pStyle w:val="NoSpacing"/>
      </w:pPr>
    </w:p>
    <w:p w14:paraId="74E26115" w14:textId="7E8A1BF3" w:rsidR="00E7124A" w:rsidRPr="00601B54" w:rsidRDefault="00E7124A" w:rsidP="00E7124A">
      <w:pPr>
        <w:pStyle w:val="NoSpacing"/>
        <w:rPr>
          <w:b/>
          <w:bCs/>
        </w:rPr>
      </w:pPr>
      <w:r w:rsidRPr="00601B54">
        <w:rPr>
          <w:b/>
          <w:bCs/>
        </w:rPr>
        <w:t>Actionable Insights:</w:t>
      </w:r>
    </w:p>
    <w:p w14:paraId="2BB35B91" w14:textId="77777777" w:rsidR="00E7124A" w:rsidRPr="00601B54" w:rsidRDefault="00E7124A" w:rsidP="00E7124A">
      <w:pPr>
        <w:pStyle w:val="NoSpacing"/>
        <w:numPr>
          <w:ilvl w:val="0"/>
          <w:numId w:val="10"/>
        </w:numPr>
      </w:pPr>
      <w:r w:rsidRPr="00601B54">
        <w:t>Discover new features and product roadmaps</w:t>
      </w:r>
    </w:p>
    <w:p w14:paraId="1ACC83BF" w14:textId="091F64B1" w:rsidR="00E7124A" w:rsidRPr="00601B54" w:rsidRDefault="00E7124A" w:rsidP="00E7124A">
      <w:pPr>
        <w:pStyle w:val="NoSpacing"/>
        <w:numPr>
          <w:ilvl w:val="0"/>
          <w:numId w:val="10"/>
        </w:numPr>
      </w:pPr>
      <w:r w:rsidRPr="00601B54">
        <w:t xml:space="preserve">Learn real-world use cases from </w:t>
      </w:r>
      <w:r w:rsidR="00BF57B1" w:rsidRPr="00BF57B1">
        <w:t>both campus and healthcare client success stories</w:t>
      </w:r>
      <w:r w:rsidR="00BF57B1" w:rsidRPr="00601B54">
        <w:t xml:space="preserve"> </w:t>
      </w:r>
    </w:p>
    <w:p w14:paraId="32E70776" w14:textId="77777777" w:rsidR="00E7124A" w:rsidRPr="00601B54" w:rsidRDefault="00E7124A" w:rsidP="00E7124A">
      <w:pPr>
        <w:pStyle w:val="NoSpacing"/>
        <w:numPr>
          <w:ilvl w:val="0"/>
          <w:numId w:val="10"/>
        </w:numPr>
      </w:pPr>
      <w:r w:rsidRPr="00601B54">
        <w:t>Get hands-on with mobile ID, contactless payments, and cloud POS</w:t>
      </w:r>
    </w:p>
    <w:p w14:paraId="5ED08C4A" w14:textId="77777777" w:rsidR="00E7124A" w:rsidRPr="00601B54" w:rsidRDefault="00E7124A" w:rsidP="00E7124A">
      <w:pPr>
        <w:pStyle w:val="NoSpacing"/>
      </w:pPr>
    </w:p>
    <w:p w14:paraId="641601DF" w14:textId="24D01C0B" w:rsidR="00E7124A" w:rsidRPr="00601B54" w:rsidRDefault="00E7124A" w:rsidP="00E7124A">
      <w:pPr>
        <w:pStyle w:val="NoSpacing"/>
        <w:rPr>
          <w:b/>
          <w:bCs/>
        </w:rPr>
      </w:pPr>
      <w:r w:rsidRPr="00601B54">
        <w:rPr>
          <w:b/>
          <w:bCs/>
        </w:rPr>
        <w:t>Direct Access:</w:t>
      </w:r>
    </w:p>
    <w:p w14:paraId="3B52B735" w14:textId="77777777" w:rsidR="00E7124A" w:rsidRPr="00E7124A" w:rsidRDefault="00E7124A" w:rsidP="00E7124A">
      <w:pPr>
        <w:pStyle w:val="NoSpacing"/>
        <w:numPr>
          <w:ilvl w:val="0"/>
          <w:numId w:val="11"/>
        </w:numPr>
      </w:pPr>
      <w:r w:rsidRPr="00E7124A">
        <w:t>Meet one-on-one with product experts and decision-makers</w:t>
      </w:r>
    </w:p>
    <w:p w14:paraId="6F4B3502" w14:textId="77777777" w:rsidR="00E7124A" w:rsidRPr="00E7124A" w:rsidRDefault="00E7124A" w:rsidP="00E7124A">
      <w:pPr>
        <w:pStyle w:val="NoSpacing"/>
        <w:numPr>
          <w:ilvl w:val="0"/>
          <w:numId w:val="11"/>
        </w:numPr>
      </w:pPr>
      <w:r w:rsidRPr="00E7124A">
        <w:t>Provide feedback and help shape future solutions</w:t>
      </w:r>
    </w:p>
    <w:p w14:paraId="32965BB6" w14:textId="77777777" w:rsidR="00601B54" w:rsidRDefault="00601B54" w:rsidP="00E7124A">
      <w:pPr>
        <w:rPr>
          <w:b/>
          <w:bCs/>
        </w:rPr>
      </w:pPr>
    </w:p>
    <w:p w14:paraId="57DFFECC" w14:textId="18BD55EE" w:rsidR="00E7124A" w:rsidRPr="00E7124A" w:rsidRDefault="00E7124A" w:rsidP="00E7124A">
      <w:pPr>
        <w:rPr>
          <w:b/>
          <w:bCs/>
        </w:rPr>
      </w:pPr>
      <w:r w:rsidRPr="00E7124A">
        <w:rPr>
          <w:b/>
          <w:bCs/>
        </w:rPr>
        <w:t>COST ESTIMATE WORKSHEET</w:t>
      </w:r>
    </w:p>
    <w:tbl>
      <w:tblPr>
        <w:tblW w:w="10773" w:type="dxa"/>
        <w:tblCellSpacing w:w="15" w:type="dxa"/>
        <w:tblCellMar>
          <w:top w:w="15" w:type="dxa"/>
          <w:left w:w="15" w:type="dxa"/>
          <w:bottom w:w="15" w:type="dxa"/>
          <w:right w:w="15" w:type="dxa"/>
        </w:tblCellMar>
        <w:tblLook w:val="04A0" w:firstRow="1" w:lastRow="0" w:firstColumn="1" w:lastColumn="0" w:noHBand="0" w:noVBand="1"/>
      </w:tblPr>
      <w:tblGrid>
        <w:gridCol w:w="7797"/>
        <w:gridCol w:w="2976"/>
      </w:tblGrid>
      <w:tr w:rsidR="00E7124A" w:rsidRPr="00E7124A" w14:paraId="755A82F5" w14:textId="77777777" w:rsidTr="00315BC3">
        <w:trPr>
          <w:tblCellSpacing w:w="15" w:type="dxa"/>
        </w:trPr>
        <w:tc>
          <w:tcPr>
            <w:tcW w:w="7752" w:type="dxa"/>
            <w:vAlign w:val="center"/>
            <w:hideMark/>
          </w:tcPr>
          <w:p w14:paraId="473EAB94" w14:textId="77777777" w:rsidR="00E7124A" w:rsidRPr="00E7124A" w:rsidRDefault="00E7124A" w:rsidP="00E7124A">
            <w:pPr>
              <w:rPr>
                <w:b/>
                <w:bCs/>
              </w:rPr>
            </w:pPr>
            <w:r w:rsidRPr="00E7124A">
              <w:rPr>
                <w:b/>
                <w:bCs/>
                <w:color w:val="2280D2"/>
              </w:rPr>
              <w:t>Expense Category</w:t>
            </w:r>
          </w:p>
        </w:tc>
        <w:tc>
          <w:tcPr>
            <w:tcW w:w="2931" w:type="dxa"/>
            <w:vAlign w:val="center"/>
            <w:hideMark/>
          </w:tcPr>
          <w:p w14:paraId="4A4933F1" w14:textId="77777777" w:rsidR="00E7124A" w:rsidRPr="00E7124A" w:rsidRDefault="00E7124A" w:rsidP="00E7124A">
            <w:pPr>
              <w:rPr>
                <w:b/>
                <w:bCs/>
              </w:rPr>
            </w:pPr>
            <w:r w:rsidRPr="00E7124A">
              <w:rPr>
                <w:b/>
                <w:bCs/>
                <w:color w:val="2280D2"/>
              </w:rPr>
              <w:t>Estimated Cost</w:t>
            </w:r>
          </w:p>
        </w:tc>
      </w:tr>
      <w:tr w:rsidR="00E7124A" w:rsidRPr="00E7124A" w14:paraId="794DCFCA" w14:textId="77777777" w:rsidTr="00315BC3">
        <w:trPr>
          <w:tblCellSpacing w:w="15" w:type="dxa"/>
        </w:trPr>
        <w:tc>
          <w:tcPr>
            <w:tcW w:w="7752" w:type="dxa"/>
            <w:vAlign w:val="center"/>
            <w:hideMark/>
          </w:tcPr>
          <w:p w14:paraId="2C5EEC1D" w14:textId="77777777" w:rsidR="00E7124A" w:rsidRPr="00E7124A" w:rsidRDefault="00E7124A" w:rsidP="00E7124A">
            <w:r w:rsidRPr="00E7124A">
              <w:t>Conference Registration</w:t>
            </w:r>
          </w:p>
        </w:tc>
        <w:tc>
          <w:tcPr>
            <w:tcW w:w="2931" w:type="dxa"/>
            <w:vAlign w:val="center"/>
            <w:hideMark/>
          </w:tcPr>
          <w:p w14:paraId="5094D8CB" w14:textId="6EF45232" w:rsidR="00E7124A" w:rsidRPr="00E7124A" w:rsidRDefault="00E7124A" w:rsidP="00E7124A">
            <w:r w:rsidRPr="00E7124A">
              <w:t>$</w:t>
            </w:r>
            <w:r w:rsidR="006F13D0">
              <w:t>795 (Early Bird) $995 (Regular)</w:t>
            </w:r>
          </w:p>
        </w:tc>
      </w:tr>
      <w:tr w:rsidR="00E7124A" w:rsidRPr="00E7124A" w14:paraId="5CE420AC" w14:textId="77777777" w:rsidTr="00315BC3">
        <w:trPr>
          <w:tblCellSpacing w:w="15" w:type="dxa"/>
        </w:trPr>
        <w:tc>
          <w:tcPr>
            <w:tcW w:w="7752" w:type="dxa"/>
            <w:vAlign w:val="center"/>
            <w:hideMark/>
          </w:tcPr>
          <w:p w14:paraId="392975BD" w14:textId="77777777" w:rsidR="00E7124A" w:rsidRPr="00E7124A" w:rsidRDefault="00E7124A" w:rsidP="00E7124A">
            <w:r w:rsidRPr="00E7124A">
              <w:t>Airfare/Transportation</w:t>
            </w:r>
          </w:p>
        </w:tc>
        <w:tc>
          <w:tcPr>
            <w:tcW w:w="2931" w:type="dxa"/>
            <w:vAlign w:val="center"/>
            <w:hideMark/>
          </w:tcPr>
          <w:p w14:paraId="0696A928" w14:textId="77777777" w:rsidR="00E7124A" w:rsidRPr="00E7124A" w:rsidRDefault="00E7124A" w:rsidP="00E7124A">
            <w:r w:rsidRPr="00E7124A">
              <w:t>$[Insert Amount]</w:t>
            </w:r>
          </w:p>
        </w:tc>
      </w:tr>
      <w:tr w:rsidR="00E7124A" w:rsidRPr="00E7124A" w14:paraId="10B5A8CD" w14:textId="77777777" w:rsidTr="00315BC3">
        <w:trPr>
          <w:tblCellSpacing w:w="15" w:type="dxa"/>
        </w:trPr>
        <w:tc>
          <w:tcPr>
            <w:tcW w:w="7752" w:type="dxa"/>
            <w:vAlign w:val="center"/>
            <w:hideMark/>
          </w:tcPr>
          <w:p w14:paraId="36C648B7" w14:textId="77777777" w:rsidR="00E7124A" w:rsidRPr="00E7124A" w:rsidRDefault="00E7124A" w:rsidP="00E7124A">
            <w:r w:rsidRPr="00E7124A">
              <w:t>Hotel (3 nights)</w:t>
            </w:r>
          </w:p>
        </w:tc>
        <w:tc>
          <w:tcPr>
            <w:tcW w:w="2931" w:type="dxa"/>
            <w:vAlign w:val="center"/>
            <w:hideMark/>
          </w:tcPr>
          <w:p w14:paraId="6FE07356" w14:textId="77777777" w:rsidR="00E7124A" w:rsidRPr="00E7124A" w:rsidRDefault="00E7124A" w:rsidP="00E7124A">
            <w:r w:rsidRPr="00E7124A">
              <w:t>$[Insert Amount]</w:t>
            </w:r>
          </w:p>
        </w:tc>
      </w:tr>
      <w:tr w:rsidR="00E7124A" w:rsidRPr="00E7124A" w14:paraId="10902542" w14:textId="77777777" w:rsidTr="00315BC3">
        <w:trPr>
          <w:tblCellSpacing w:w="15" w:type="dxa"/>
        </w:trPr>
        <w:tc>
          <w:tcPr>
            <w:tcW w:w="7752" w:type="dxa"/>
            <w:vAlign w:val="center"/>
            <w:hideMark/>
          </w:tcPr>
          <w:p w14:paraId="3A7586BA" w14:textId="455E643F" w:rsidR="00E7124A" w:rsidRPr="006F13D0" w:rsidRDefault="00E7124A" w:rsidP="006F13D0">
            <w:pPr>
              <w:pStyle w:val="NoSpacing"/>
              <w:rPr>
                <w:i/>
                <w:iCs/>
                <w:sz w:val="20"/>
                <w:szCs w:val="20"/>
              </w:rPr>
            </w:pPr>
            <w:r w:rsidRPr="00E7124A">
              <w:t>Meals &amp; Incidentals</w:t>
            </w:r>
            <w:r w:rsidR="006F13D0">
              <w:t xml:space="preserve"> – </w:t>
            </w:r>
            <w:r w:rsidR="006F13D0" w:rsidRPr="006F13D0">
              <w:rPr>
                <w:i/>
                <w:iCs/>
                <w:sz w:val="20"/>
                <w:szCs w:val="20"/>
              </w:rPr>
              <w:t xml:space="preserve">Conference meals that are included - Monday lunch*, </w:t>
            </w:r>
            <w:r w:rsidR="00601B54">
              <w:rPr>
                <w:i/>
                <w:iCs/>
                <w:sz w:val="20"/>
                <w:szCs w:val="20"/>
              </w:rPr>
              <w:t>evening</w:t>
            </w:r>
            <w:r w:rsidR="006F13D0" w:rsidRPr="006F13D0">
              <w:rPr>
                <w:i/>
                <w:iCs/>
                <w:sz w:val="20"/>
                <w:szCs w:val="20"/>
              </w:rPr>
              <w:t xml:space="preserve">, Tuesday </w:t>
            </w:r>
            <w:r w:rsidR="00601B54">
              <w:rPr>
                <w:i/>
                <w:iCs/>
                <w:sz w:val="20"/>
                <w:szCs w:val="20"/>
              </w:rPr>
              <w:t>3 meals</w:t>
            </w:r>
            <w:r w:rsidR="006F13D0" w:rsidRPr="006F13D0">
              <w:rPr>
                <w:i/>
                <w:iCs/>
                <w:sz w:val="20"/>
                <w:szCs w:val="20"/>
              </w:rPr>
              <w:t xml:space="preserve">, Wednesday </w:t>
            </w:r>
            <w:r w:rsidR="00305492">
              <w:rPr>
                <w:i/>
                <w:iCs/>
                <w:sz w:val="20"/>
                <w:szCs w:val="20"/>
              </w:rPr>
              <w:t>2</w:t>
            </w:r>
            <w:r w:rsidR="00601B54">
              <w:rPr>
                <w:i/>
                <w:iCs/>
                <w:sz w:val="20"/>
                <w:szCs w:val="20"/>
              </w:rPr>
              <w:t xml:space="preserve"> meals</w:t>
            </w:r>
          </w:p>
          <w:p w14:paraId="24196C02" w14:textId="2D12B9EC" w:rsidR="006F13D0" w:rsidRPr="00E7124A" w:rsidRDefault="006F13D0" w:rsidP="006F13D0">
            <w:pPr>
              <w:pStyle w:val="NoSpacing"/>
            </w:pPr>
            <w:r w:rsidRPr="006F13D0">
              <w:rPr>
                <w:i/>
                <w:iCs/>
                <w:sz w:val="20"/>
                <w:szCs w:val="20"/>
              </w:rPr>
              <w:t>*</w:t>
            </w:r>
            <w:r>
              <w:rPr>
                <w:i/>
                <w:iCs/>
                <w:sz w:val="20"/>
                <w:szCs w:val="20"/>
              </w:rPr>
              <w:t xml:space="preserve">Only registered </w:t>
            </w:r>
            <w:r w:rsidRPr="006F13D0">
              <w:rPr>
                <w:i/>
                <w:iCs/>
                <w:sz w:val="20"/>
                <w:szCs w:val="20"/>
              </w:rPr>
              <w:t xml:space="preserve">pre-con sessions include lunch </w:t>
            </w:r>
          </w:p>
        </w:tc>
        <w:tc>
          <w:tcPr>
            <w:tcW w:w="2931" w:type="dxa"/>
            <w:vAlign w:val="center"/>
            <w:hideMark/>
          </w:tcPr>
          <w:p w14:paraId="7E5150A7" w14:textId="77777777" w:rsidR="00E7124A" w:rsidRPr="00E7124A" w:rsidRDefault="00E7124A" w:rsidP="00E7124A">
            <w:r w:rsidRPr="00E7124A">
              <w:t>$[Insert Amount]</w:t>
            </w:r>
          </w:p>
        </w:tc>
      </w:tr>
      <w:tr w:rsidR="00E7124A" w:rsidRPr="00E7124A" w14:paraId="702B76C6" w14:textId="77777777" w:rsidTr="00315BC3">
        <w:trPr>
          <w:tblCellSpacing w:w="15" w:type="dxa"/>
        </w:trPr>
        <w:tc>
          <w:tcPr>
            <w:tcW w:w="7752" w:type="dxa"/>
            <w:vAlign w:val="center"/>
            <w:hideMark/>
          </w:tcPr>
          <w:p w14:paraId="04F221EF" w14:textId="77777777" w:rsidR="00E7124A" w:rsidRPr="00E7124A" w:rsidRDefault="00E7124A" w:rsidP="00E7124A">
            <w:r w:rsidRPr="00E7124A">
              <w:t>Local Transportation</w:t>
            </w:r>
          </w:p>
        </w:tc>
        <w:tc>
          <w:tcPr>
            <w:tcW w:w="2931" w:type="dxa"/>
            <w:vAlign w:val="center"/>
            <w:hideMark/>
          </w:tcPr>
          <w:p w14:paraId="580C6FD7" w14:textId="77777777" w:rsidR="00E7124A" w:rsidRPr="00E7124A" w:rsidRDefault="00E7124A" w:rsidP="00E7124A">
            <w:r w:rsidRPr="00E7124A">
              <w:t>$[Insert Amount]</w:t>
            </w:r>
          </w:p>
        </w:tc>
      </w:tr>
      <w:tr w:rsidR="00E7124A" w:rsidRPr="00E7124A" w14:paraId="0A4BD497" w14:textId="77777777" w:rsidTr="00315BC3">
        <w:trPr>
          <w:tblCellSpacing w:w="15" w:type="dxa"/>
        </w:trPr>
        <w:tc>
          <w:tcPr>
            <w:tcW w:w="7752" w:type="dxa"/>
            <w:vAlign w:val="center"/>
            <w:hideMark/>
          </w:tcPr>
          <w:p w14:paraId="4E788ACE" w14:textId="77777777" w:rsidR="00E7124A" w:rsidRPr="00E7124A" w:rsidRDefault="00E7124A" w:rsidP="00E7124A">
            <w:r w:rsidRPr="00E7124A">
              <w:rPr>
                <w:b/>
                <w:bCs/>
              </w:rPr>
              <w:t>Total Estimate</w:t>
            </w:r>
          </w:p>
        </w:tc>
        <w:tc>
          <w:tcPr>
            <w:tcW w:w="2931" w:type="dxa"/>
            <w:vAlign w:val="center"/>
            <w:hideMark/>
          </w:tcPr>
          <w:p w14:paraId="0171EADD" w14:textId="77777777" w:rsidR="00E7124A" w:rsidRPr="00E7124A" w:rsidRDefault="00E7124A" w:rsidP="00E7124A">
            <w:r w:rsidRPr="00E7124A">
              <w:rPr>
                <w:b/>
                <w:bCs/>
              </w:rPr>
              <w:t>$[Total]</w:t>
            </w:r>
          </w:p>
        </w:tc>
      </w:tr>
    </w:tbl>
    <w:p w14:paraId="1A275018" w14:textId="1BA79EBC" w:rsidR="00E7124A" w:rsidRPr="00E7124A" w:rsidRDefault="00E7124A" w:rsidP="00601B54">
      <w:pPr>
        <w:pStyle w:val="NoSpacing"/>
      </w:pPr>
    </w:p>
    <w:p w14:paraId="71386047" w14:textId="77777777" w:rsidR="00E7124A" w:rsidRPr="00315BC3" w:rsidRDefault="00E7124A" w:rsidP="00601B54">
      <w:pPr>
        <w:pStyle w:val="NoSpacing"/>
        <w:rPr>
          <w:b/>
          <w:bCs/>
          <w:color w:val="2280D2"/>
        </w:rPr>
      </w:pPr>
      <w:r w:rsidRPr="00315BC3">
        <w:rPr>
          <w:b/>
          <w:bCs/>
          <w:color w:val="2280D2"/>
        </w:rPr>
        <w:t>QUANTIFYING THE RETURN</w:t>
      </w:r>
    </w:p>
    <w:p w14:paraId="1AD264CA" w14:textId="77777777" w:rsidR="00E7124A" w:rsidRPr="00E7124A" w:rsidRDefault="00E7124A" w:rsidP="00601B54">
      <w:pPr>
        <w:pStyle w:val="NoSpacing"/>
        <w:numPr>
          <w:ilvl w:val="0"/>
          <w:numId w:val="13"/>
        </w:numPr>
      </w:pPr>
      <w:r w:rsidRPr="00E7124A">
        <w:t>Learn best practices to improve workflows and reduce support burden</w:t>
      </w:r>
    </w:p>
    <w:p w14:paraId="1471654A" w14:textId="77777777" w:rsidR="00E7124A" w:rsidRPr="00E7124A" w:rsidRDefault="00E7124A" w:rsidP="00601B54">
      <w:pPr>
        <w:pStyle w:val="NoSpacing"/>
        <w:numPr>
          <w:ilvl w:val="0"/>
          <w:numId w:val="13"/>
        </w:numPr>
      </w:pPr>
      <w:r w:rsidRPr="00E7124A">
        <w:t>Evaluate tools and technologies already in use or under consideration</w:t>
      </w:r>
    </w:p>
    <w:p w14:paraId="5D477B6F" w14:textId="77777777" w:rsidR="00E7124A" w:rsidRPr="00E7124A" w:rsidRDefault="00E7124A" w:rsidP="00E7124A">
      <w:pPr>
        <w:pStyle w:val="NoSpacing"/>
        <w:numPr>
          <w:ilvl w:val="0"/>
          <w:numId w:val="12"/>
        </w:numPr>
      </w:pPr>
      <w:r w:rsidRPr="00E7124A">
        <w:t>Gain ideas from peer institutions facing similar challenges</w:t>
      </w:r>
    </w:p>
    <w:p w14:paraId="1A5729F8" w14:textId="77777777" w:rsidR="00E7124A" w:rsidRPr="00E7124A" w:rsidRDefault="00E7124A" w:rsidP="00E7124A">
      <w:pPr>
        <w:pStyle w:val="NoSpacing"/>
        <w:numPr>
          <w:ilvl w:val="0"/>
          <w:numId w:val="12"/>
        </w:numPr>
      </w:pPr>
      <w:r w:rsidRPr="00E7124A">
        <w:t>Share knowledge post-event with your department or leadership</w:t>
      </w:r>
    </w:p>
    <w:p w14:paraId="1CF1BE00" w14:textId="77777777" w:rsidR="00E7124A" w:rsidRPr="00E7124A" w:rsidRDefault="00E7124A" w:rsidP="00E7124A">
      <w:pPr>
        <w:pStyle w:val="NoSpacing"/>
        <w:numPr>
          <w:ilvl w:val="0"/>
          <w:numId w:val="12"/>
        </w:numPr>
      </w:pPr>
      <w:r w:rsidRPr="00E7124A">
        <w:t>Earn CEUs (if applicable)</w:t>
      </w:r>
    </w:p>
    <w:p w14:paraId="0112D49B" w14:textId="77777777" w:rsidR="00E7124A" w:rsidRPr="00E7124A" w:rsidRDefault="00FA5432" w:rsidP="00E7124A">
      <w:r>
        <w:pict w14:anchorId="0DFB6EBE">
          <v:rect id="_x0000_i1026" style="width:0;height:1.5pt" o:hralign="center" o:hrstd="t" o:hr="t" fillcolor="#a0a0a0" stroked="f"/>
        </w:pict>
      </w:r>
    </w:p>
    <w:p w14:paraId="13B8447F" w14:textId="77777777" w:rsidR="00601B54" w:rsidRPr="00315BC3" w:rsidRDefault="00E7124A" w:rsidP="00E7124A">
      <w:pPr>
        <w:rPr>
          <w:b/>
          <w:bCs/>
          <w:color w:val="2280D2"/>
        </w:rPr>
      </w:pPr>
      <w:r w:rsidRPr="00E7124A">
        <w:rPr>
          <w:b/>
          <w:bCs/>
          <w:color w:val="2280D2"/>
        </w:rPr>
        <w:t>JUSTIFICATION LETTER TEMPLATE</w:t>
      </w:r>
    </w:p>
    <w:p w14:paraId="340EFC16" w14:textId="62A94B3D" w:rsidR="00E7124A" w:rsidRPr="00E7124A" w:rsidRDefault="00E7124A" w:rsidP="00E7124A">
      <w:r w:rsidRPr="00E7124A">
        <w:rPr>
          <w:b/>
          <w:bCs/>
        </w:rPr>
        <w:t>[Date]</w:t>
      </w:r>
    </w:p>
    <w:p w14:paraId="3DE99FD9" w14:textId="77777777" w:rsidR="00E7124A" w:rsidRPr="00E7124A" w:rsidRDefault="00E7124A" w:rsidP="00E7124A">
      <w:r w:rsidRPr="00E7124A">
        <w:t>Dear [Supervisor’s Name],</w:t>
      </w:r>
    </w:p>
    <w:p w14:paraId="46A62917" w14:textId="777D3965" w:rsidR="00E7124A" w:rsidRDefault="00E7124A" w:rsidP="00E7124A">
      <w:r w:rsidRPr="00E7124A">
        <w:t xml:space="preserve">I’m requesting approval to attend the 2026 </w:t>
      </w:r>
      <w:r w:rsidR="006F13D0">
        <w:t>Transact</w:t>
      </w:r>
      <w:r w:rsidRPr="00E7124A">
        <w:t xml:space="preserve"> + CBORD Annual Conference, March 2–5, 2026, at the Gaylord Opryland Resort in Nashville. This event is the top annual gathering for institutions </w:t>
      </w:r>
      <w:r w:rsidR="00BF57B1" w:rsidRPr="00BF57B1">
        <w:t>and healthcare organizations</w:t>
      </w:r>
      <w:r w:rsidR="00BF57B1">
        <w:t xml:space="preserve"> </w:t>
      </w:r>
      <w:r w:rsidRPr="00E7124A">
        <w:t xml:space="preserve">using Transact and CBORD </w:t>
      </w:r>
      <w:r w:rsidR="006F13D0" w:rsidRPr="00E7124A">
        <w:t>technologies</w:t>
      </w:r>
      <w:r w:rsidR="00BF57B1">
        <w:t>.</w:t>
      </w:r>
    </w:p>
    <w:p w14:paraId="6C1C8679" w14:textId="20EBC314" w:rsidR="00BF57B1" w:rsidRPr="00E7124A" w:rsidRDefault="00BF57B1" w:rsidP="00E7124A">
      <w:r w:rsidRPr="00BF57B1">
        <w:t xml:space="preserve">Attending will allow me to participate in sessions directly relevant to </w:t>
      </w:r>
      <w:r w:rsidRPr="00BF57B1">
        <w:rPr>
          <w:b/>
          <w:bCs/>
        </w:rPr>
        <w:t xml:space="preserve">[higher education/healthcare or both] </w:t>
      </w:r>
      <w:r w:rsidRPr="00BF57B1">
        <w:t>operations, connect with peers in my sector, and engage with key partners and product experts.</w:t>
      </w:r>
    </w:p>
    <w:p w14:paraId="6F83285A" w14:textId="638AA332" w:rsidR="00E7124A" w:rsidRPr="00E7124A" w:rsidRDefault="00E7124A" w:rsidP="00E7124A">
      <w:r w:rsidRPr="00E7124A">
        <w:t>The value I’ll bring back includes best practices, new tools, and practical strategies that can immediately benefit our campus</w:t>
      </w:r>
      <w:r w:rsidR="006F13D0">
        <w:t xml:space="preserve"> or hospital</w:t>
      </w:r>
      <w:r w:rsidRPr="00E7124A">
        <w:t xml:space="preserve"> operations. I’ve outlined the estimated costs and the return on investment on the attached worksheet.</w:t>
      </w:r>
    </w:p>
    <w:p w14:paraId="15AFEC19" w14:textId="77777777" w:rsidR="00E7124A" w:rsidRPr="00E7124A" w:rsidRDefault="00E7124A" w:rsidP="00E7124A">
      <w:r w:rsidRPr="00E7124A">
        <w:t>Thank you for considering this professional development opportunity. I’m happy to discuss how I can share insights with our team upon return.</w:t>
      </w:r>
    </w:p>
    <w:p w14:paraId="5C0DCFC0" w14:textId="3399503A" w:rsidR="00A50BBC" w:rsidRDefault="00E7124A">
      <w:r w:rsidRPr="00E7124A">
        <w:t>Sincerely,</w:t>
      </w:r>
      <w:r w:rsidRPr="00E7124A">
        <w:br/>
        <w:t>[Your Name]</w:t>
      </w:r>
      <w:r w:rsidRPr="00E7124A">
        <w:br/>
        <w:t>[Your Title / Department]</w:t>
      </w:r>
    </w:p>
    <w:sectPr w:rsidR="00A50BBC" w:rsidSect="00BF57B1">
      <w:headerReference w:type="default" r:id="rId10"/>
      <w:pgSz w:w="12240" w:h="15840"/>
      <w:pgMar w:top="720" w:right="720" w:bottom="720" w:left="72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789F" w14:textId="77777777" w:rsidR="00AA3877" w:rsidRDefault="00AA3877" w:rsidP="00886963">
      <w:pPr>
        <w:spacing w:after="0" w:line="240" w:lineRule="auto"/>
      </w:pPr>
      <w:r>
        <w:separator/>
      </w:r>
    </w:p>
  </w:endnote>
  <w:endnote w:type="continuationSeparator" w:id="0">
    <w:p w14:paraId="15E96ECE" w14:textId="77777777" w:rsidR="00AA3877" w:rsidRDefault="00AA3877" w:rsidP="00886963">
      <w:pPr>
        <w:spacing w:after="0" w:line="240" w:lineRule="auto"/>
      </w:pPr>
      <w:r>
        <w:continuationSeparator/>
      </w:r>
    </w:p>
  </w:endnote>
  <w:endnote w:type="continuationNotice" w:id="1">
    <w:p w14:paraId="7D34D056" w14:textId="77777777" w:rsidR="0003706D" w:rsidRDefault="000370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CCFC" w14:textId="77777777" w:rsidR="00AA3877" w:rsidRDefault="00AA3877" w:rsidP="00886963">
      <w:pPr>
        <w:spacing w:after="0" w:line="240" w:lineRule="auto"/>
      </w:pPr>
      <w:r>
        <w:separator/>
      </w:r>
    </w:p>
  </w:footnote>
  <w:footnote w:type="continuationSeparator" w:id="0">
    <w:p w14:paraId="1B72D280" w14:textId="77777777" w:rsidR="00AA3877" w:rsidRDefault="00AA3877" w:rsidP="00886963">
      <w:pPr>
        <w:spacing w:after="0" w:line="240" w:lineRule="auto"/>
      </w:pPr>
      <w:r>
        <w:continuationSeparator/>
      </w:r>
    </w:p>
  </w:footnote>
  <w:footnote w:type="continuationNotice" w:id="1">
    <w:p w14:paraId="2F0EEFC2" w14:textId="77777777" w:rsidR="0003706D" w:rsidRDefault="000370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87D" w14:textId="77777777" w:rsidR="00886963" w:rsidRDefault="00886963" w:rsidP="00315BC3">
    <w:pPr>
      <w:pStyle w:val="Header"/>
      <w:shd w:val="clear" w:color="auto" w:fill="2280D2"/>
    </w:pPr>
  </w:p>
  <w:p w14:paraId="29365B3E" w14:textId="77777777" w:rsidR="00886963" w:rsidRDefault="00886963" w:rsidP="00315BC3">
    <w:pPr>
      <w:pStyle w:val="Header"/>
      <w:shd w:val="clear" w:color="auto" w:fill="2280D2"/>
      <w:ind w:firstLine="720"/>
    </w:pPr>
  </w:p>
  <w:p w14:paraId="1CED0D60" w14:textId="15035890" w:rsidR="00886963" w:rsidRPr="00886963" w:rsidRDefault="00BF57B1" w:rsidP="00BF57B1">
    <w:pPr>
      <w:pStyle w:val="Header"/>
      <w:shd w:val="clear" w:color="auto" w:fill="2280D2"/>
      <w:tabs>
        <w:tab w:val="clear" w:pos="4680"/>
        <w:tab w:val="clear" w:pos="9360"/>
        <w:tab w:val="left" w:pos="2810"/>
        <w:tab w:val="center" w:pos="5400"/>
        <w:tab w:val="left" w:pos="9830"/>
      </w:tabs>
      <w:rPr>
        <w:b/>
        <w:bCs/>
        <w:sz w:val="36"/>
        <w:szCs w:val="36"/>
      </w:rPr>
    </w:pPr>
    <w:r>
      <w:rPr>
        <w:b/>
        <w:bCs/>
        <w:color w:val="FFFFFF" w:themeColor="background1"/>
        <w:sz w:val="36"/>
        <w:szCs w:val="36"/>
      </w:rPr>
      <w:tab/>
    </w:r>
    <w:r w:rsidR="00886963" w:rsidRPr="00886963">
      <w:rPr>
        <w:b/>
        <w:bCs/>
        <w:color w:val="FFFFFF" w:themeColor="background1"/>
        <w:sz w:val="36"/>
        <w:szCs w:val="36"/>
      </w:rPr>
      <w:t>Transact + CBORD Annual Conference</w:t>
    </w:r>
    <w:r>
      <w:rPr>
        <w:b/>
        <w:bCs/>
        <w:color w:val="FFFFFF" w:themeColor="background1"/>
        <w:sz w:val="36"/>
        <w:szCs w:val="36"/>
      </w:rPr>
      <w:tab/>
    </w:r>
  </w:p>
  <w:p w14:paraId="6554FCB6" w14:textId="77777777" w:rsidR="00886963" w:rsidRDefault="00886963" w:rsidP="00315BC3">
    <w:pPr>
      <w:pStyle w:val="Header"/>
      <w:shd w:val="clear" w:color="auto" w:fill="2280D2"/>
    </w:pPr>
  </w:p>
  <w:p w14:paraId="3FD6DFA8" w14:textId="77777777" w:rsidR="00886963" w:rsidRDefault="00886963" w:rsidP="00315BC3">
    <w:pPr>
      <w:pStyle w:val="Header"/>
      <w:shd w:val="clear" w:color="auto" w:fill="2280D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5BE2"/>
    <w:multiLevelType w:val="hybridMultilevel"/>
    <w:tmpl w:val="84AC34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F708BE"/>
    <w:multiLevelType w:val="multilevel"/>
    <w:tmpl w:val="4210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42691"/>
    <w:multiLevelType w:val="multilevel"/>
    <w:tmpl w:val="9F6A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976D1"/>
    <w:multiLevelType w:val="multilevel"/>
    <w:tmpl w:val="E8C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55E7C"/>
    <w:multiLevelType w:val="hybridMultilevel"/>
    <w:tmpl w:val="2EB2D0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F127631"/>
    <w:multiLevelType w:val="hybridMultilevel"/>
    <w:tmpl w:val="26CCB2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1554B44"/>
    <w:multiLevelType w:val="hybridMultilevel"/>
    <w:tmpl w:val="82764E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69B1D77"/>
    <w:multiLevelType w:val="multilevel"/>
    <w:tmpl w:val="32B4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916E69"/>
    <w:multiLevelType w:val="hybridMultilevel"/>
    <w:tmpl w:val="1AF21E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3BA2AAD"/>
    <w:multiLevelType w:val="hybridMultilevel"/>
    <w:tmpl w:val="B426A2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48A4963"/>
    <w:multiLevelType w:val="multilevel"/>
    <w:tmpl w:val="496E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0D2E66"/>
    <w:multiLevelType w:val="hybridMultilevel"/>
    <w:tmpl w:val="82C685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B3F11A9"/>
    <w:multiLevelType w:val="multilevel"/>
    <w:tmpl w:val="5736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149268">
    <w:abstractNumId w:val="1"/>
  </w:num>
  <w:num w:numId="2" w16cid:durableId="1409186586">
    <w:abstractNumId w:val="2"/>
  </w:num>
  <w:num w:numId="3" w16cid:durableId="1792437569">
    <w:abstractNumId w:val="12"/>
  </w:num>
  <w:num w:numId="4" w16cid:durableId="355430730">
    <w:abstractNumId w:val="3"/>
  </w:num>
  <w:num w:numId="5" w16cid:durableId="909772105">
    <w:abstractNumId w:val="10"/>
  </w:num>
  <w:num w:numId="6" w16cid:durableId="1202015423">
    <w:abstractNumId w:val="7"/>
  </w:num>
  <w:num w:numId="7" w16cid:durableId="976299938">
    <w:abstractNumId w:val="5"/>
  </w:num>
  <w:num w:numId="8" w16cid:durableId="53702952">
    <w:abstractNumId w:val="8"/>
  </w:num>
  <w:num w:numId="9" w16cid:durableId="1970435939">
    <w:abstractNumId w:val="11"/>
  </w:num>
  <w:num w:numId="10" w16cid:durableId="876091117">
    <w:abstractNumId w:val="6"/>
  </w:num>
  <w:num w:numId="11" w16cid:durableId="1639720976">
    <w:abstractNumId w:val="4"/>
  </w:num>
  <w:num w:numId="12" w16cid:durableId="967585985">
    <w:abstractNumId w:val="0"/>
  </w:num>
  <w:num w:numId="13" w16cid:durableId="14454226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4A"/>
    <w:rsid w:val="0003706D"/>
    <w:rsid w:val="000A4405"/>
    <w:rsid w:val="001C13DB"/>
    <w:rsid w:val="002F232D"/>
    <w:rsid w:val="00305492"/>
    <w:rsid w:val="00315BC3"/>
    <w:rsid w:val="003F3B18"/>
    <w:rsid w:val="00501E25"/>
    <w:rsid w:val="00551A8A"/>
    <w:rsid w:val="00601B54"/>
    <w:rsid w:val="006F13D0"/>
    <w:rsid w:val="00886963"/>
    <w:rsid w:val="00A50BBC"/>
    <w:rsid w:val="00A96C13"/>
    <w:rsid w:val="00AA3877"/>
    <w:rsid w:val="00BF57B1"/>
    <w:rsid w:val="00C312D9"/>
    <w:rsid w:val="00C61BBA"/>
    <w:rsid w:val="00CB7E07"/>
    <w:rsid w:val="00DF5E44"/>
    <w:rsid w:val="00E7124A"/>
    <w:rsid w:val="00F53004"/>
    <w:rsid w:val="00FA5432"/>
    <w:rsid w:val="00FA66F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7C21023"/>
  <w15:chartTrackingRefBased/>
  <w15:docId w15:val="{11A950F8-CDA7-4058-8F4C-23B7DA8D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24A"/>
    <w:rPr>
      <w:rFonts w:eastAsiaTheme="majorEastAsia" w:cstheme="majorBidi"/>
      <w:color w:val="272727" w:themeColor="text1" w:themeTint="D8"/>
    </w:rPr>
  </w:style>
  <w:style w:type="paragraph" w:styleId="Title">
    <w:name w:val="Title"/>
    <w:basedOn w:val="Normal"/>
    <w:next w:val="Normal"/>
    <w:link w:val="TitleChar"/>
    <w:uiPriority w:val="10"/>
    <w:qFormat/>
    <w:rsid w:val="00E71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24A"/>
    <w:pPr>
      <w:spacing w:before="160"/>
      <w:jc w:val="center"/>
    </w:pPr>
    <w:rPr>
      <w:i/>
      <w:iCs/>
      <w:color w:val="404040" w:themeColor="text1" w:themeTint="BF"/>
    </w:rPr>
  </w:style>
  <w:style w:type="character" w:customStyle="1" w:styleId="QuoteChar">
    <w:name w:val="Quote Char"/>
    <w:basedOn w:val="DefaultParagraphFont"/>
    <w:link w:val="Quote"/>
    <w:uiPriority w:val="29"/>
    <w:rsid w:val="00E7124A"/>
    <w:rPr>
      <w:i/>
      <w:iCs/>
      <w:color w:val="404040" w:themeColor="text1" w:themeTint="BF"/>
    </w:rPr>
  </w:style>
  <w:style w:type="paragraph" w:styleId="ListParagraph">
    <w:name w:val="List Paragraph"/>
    <w:basedOn w:val="Normal"/>
    <w:uiPriority w:val="34"/>
    <w:qFormat/>
    <w:rsid w:val="00E7124A"/>
    <w:pPr>
      <w:ind w:left="720"/>
      <w:contextualSpacing/>
    </w:pPr>
  </w:style>
  <w:style w:type="character" w:styleId="IntenseEmphasis">
    <w:name w:val="Intense Emphasis"/>
    <w:basedOn w:val="DefaultParagraphFont"/>
    <w:uiPriority w:val="21"/>
    <w:qFormat/>
    <w:rsid w:val="00E7124A"/>
    <w:rPr>
      <w:i/>
      <w:iCs/>
      <w:color w:val="0F4761" w:themeColor="accent1" w:themeShade="BF"/>
    </w:rPr>
  </w:style>
  <w:style w:type="paragraph" w:styleId="IntenseQuote">
    <w:name w:val="Intense Quote"/>
    <w:basedOn w:val="Normal"/>
    <w:next w:val="Normal"/>
    <w:link w:val="IntenseQuoteChar"/>
    <w:uiPriority w:val="30"/>
    <w:qFormat/>
    <w:rsid w:val="00E71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24A"/>
    <w:rPr>
      <w:i/>
      <w:iCs/>
      <w:color w:val="0F4761" w:themeColor="accent1" w:themeShade="BF"/>
    </w:rPr>
  </w:style>
  <w:style w:type="character" w:styleId="IntenseReference">
    <w:name w:val="Intense Reference"/>
    <w:basedOn w:val="DefaultParagraphFont"/>
    <w:uiPriority w:val="32"/>
    <w:qFormat/>
    <w:rsid w:val="00E7124A"/>
    <w:rPr>
      <w:b/>
      <w:bCs/>
      <w:smallCaps/>
      <w:color w:val="0F4761" w:themeColor="accent1" w:themeShade="BF"/>
      <w:spacing w:val="5"/>
    </w:rPr>
  </w:style>
  <w:style w:type="paragraph" w:styleId="NoSpacing">
    <w:name w:val="No Spacing"/>
    <w:uiPriority w:val="1"/>
    <w:qFormat/>
    <w:rsid w:val="00E7124A"/>
    <w:pPr>
      <w:spacing w:after="0" w:line="240" w:lineRule="auto"/>
    </w:pPr>
  </w:style>
  <w:style w:type="paragraph" w:styleId="Header">
    <w:name w:val="header"/>
    <w:basedOn w:val="Normal"/>
    <w:link w:val="HeaderChar"/>
    <w:uiPriority w:val="99"/>
    <w:unhideWhenUsed/>
    <w:rsid w:val="00886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963"/>
  </w:style>
  <w:style w:type="paragraph" w:styleId="Footer">
    <w:name w:val="footer"/>
    <w:basedOn w:val="Normal"/>
    <w:link w:val="FooterChar"/>
    <w:uiPriority w:val="99"/>
    <w:unhideWhenUsed/>
    <w:rsid w:val="00886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86623">
      <w:bodyDiv w:val="1"/>
      <w:marLeft w:val="0"/>
      <w:marRight w:val="0"/>
      <w:marTop w:val="0"/>
      <w:marBottom w:val="0"/>
      <w:divBdr>
        <w:top w:val="none" w:sz="0" w:space="0" w:color="auto"/>
        <w:left w:val="none" w:sz="0" w:space="0" w:color="auto"/>
        <w:bottom w:val="none" w:sz="0" w:space="0" w:color="auto"/>
        <w:right w:val="none" w:sz="0" w:space="0" w:color="auto"/>
      </w:divBdr>
      <w:divsChild>
        <w:div w:id="19357817">
          <w:marLeft w:val="0"/>
          <w:marRight w:val="0"/>
          <w:marTop w:val="0"/>
          <w:marBottom w:val="0"/>
          <w:divBdr>
            <w:top w:val="none" w:sz="0" w:space="0" w:color="auto"/>
            <w:left w:val="none" w:sz="0" w:space="0" w:color="auto"/>
            <w:bottom w:val="none" w:sz="0" w:space="0" w:color="auto"/>
            <w:right w:val="none" w:sz="0" w:space="0" w:color="auto"/>
          </w:divBdr>
        </w:div>
        <w:div w:id="162743415">
          <w:marLeft w:val="0"/>
          <w:marRight w:val="0"/>
          <w:marTop w:val="0"/>
          <w:marBottom w:val="0"/>
          <w:divBdr>
            <w:top w:val="none" w:sz="0" w:space="0" w:color="auto"/>
            <w:left w:val="none" w:sz="0" w:space="0" w:color="auto"/>
            <w:bottom w:val="none" w:sz="0" w:space="0" w:color="auto"/>
            <w:right w:val="none" w:sz="0" w:space="0" w:color="auto"/>
          </w:divBdr>
        </w:div>
        <w:div w:id="172841288">
          <w:marLeft w:val="0"/>
          <w:marRight w:val="0"/>
          <w:marTop w:val="0"/>
          <w:marBottom w:val="0"/>
          <w:divBdr>
            <w:top w:val="none" w:sz="0" w:space="0" w:color="auto"/>
            <w:left w:val="none" w:sz="0" w:space="0" w:color="auto"/>
            <w:bottom w:val="none" w:sz="0" w:space="0" w:color="auto"/>
            <w:right w:val="none" w:sz="0" w:space="0" w:color="auto"/>
          </w:divBdr>
        </w:div>
        <w:div w:id="881019502">
          <w:marLeft w:val="0"/>
          <w:marRight w:val="0"/>
          <w:marTop w:val="0"/>
          <w:marBottom w:val="0"/>
          <w:divBdr>
            <w:top w:val="none" w:sz="0" w:space="0" w:color="auto"/>
            <w:left w:val="none" w:sz="0" w:space="0" w:color="auto"/>
            <w:bottom w:val="none" w:sz="0" w:space="0" w:color="auto"/>
            <w:right w:val="none" w:sz="0" w:space="0" w:color="auto"/>
          </w:divBdr>
        </w:div>
        <w:div w:id="1471753543">
          <w:marLeft w:val="0"/>
          <w:marRight w:val="0"/>
          <w:marTop w:val="0"/>
          <w:marBottom w:val="0"/>
          <w:divBdr>
            <w:top w:val="none" w:sz="0" w:space="0" w:color="auto"/>
            <w:left w:val="none" w:sz="0" w:space="0" w:color="auto"/>
            <w:bottom w:val="none" w:sz="0" w:space="0" w:color="auto"/>
            <w:right w:val="none" w:sz="0" w:space="0" w:color="auto"/>
          </w:divBdr>
        </w:div>
        <w:div w:id="1652058926">
          <w:marLeft w:val="0"/>
          <w:marRight w:val="0"/>
          <w:marTop w:val="0"/>
          <w:marBottom w:val="0"/>
          <w:divBdr>
            <w:top w:val="none" w:sz="0" w:space="0" w:color="auto"/>
            <w:left w:val="none" w:sz="0" w:space="0" w:color="auto"/>
            <w:bottom w:val="none" w:sz="0" w:space="0" w:color="auto"/>
            <w:right w:val="none" w:sz="0" w:space="0" w:color="auto"/>
          </w:divBdr>
        </w:div>
      </w:divsChild>
    </w:div>
    <w:div w:id="1136415555">
      <w:bodyDiv w:val="1"/>
      <w:marLeft w:val="0"/>
      <w:marRight w:val="0"/>
      <w:marTop w:val="0"/>
      <w:marBottom w:val="0"/>
      <w:divBdr>
        <w:top w:val="none" w:sz="0" w:space="0" w:color="auto"/>
        <w:left w:val="none" w:sz="0" w:space="0" w:color="auto"/>
        <w:bottom w:val="none" w:sz="0" w:space="0" w:color="auto"/>
        <w:right w:val="none" w:sz="0" w:space="0" w:color="auto"/>
      </w:divBdr>
      <w:divsChild>
        <w:div w:id="295262308">
          <w:marLeft w:val="0"/>
          <w:marRight w:val="0"/>
          <w:marTop w:val="0"/>
          <w:marBottom w:val="0"/>
          <w:divBdr>
            <w:top w:val="none" w:sz="0" w:space="0" w:color="auto"/>
            <w:left w:val="none" w:sz="0" w:space="0" w:color="auto"/>
            <w:bottom w:val="none" w:sz="0" w:space="0" w:color="auto"/>
            <w:right w:val="none" w:sz="0" w:space="0" w:color="auto"/>
          </w:divBdr>
        </w:div>
        <w:div w:id="855265733">
          <w:marLeft w:val="0"/>
          <w:marRight w:val="0"/>
          <w:marTop w:val="0"/>
          <w:marBottom w:val="0"/>
          <w:divBdr>
            <w:top w:val="none" w:sz="0" w:space="0" w:color="auto"/>
            <w:left w:val="none" w:sz="0" w:space="0" w:color="auto"/>
            <w:bottom w:val="none" w:sz="0" w:space="0" w:color="auto"/>
            <w:right w:val="none" w:sz="0" w:space="0" w:color="auto"/>
          </w:divBdr>
        </w:div>
        <w:div w:id="1383794079">
          <w:marLeft w:val="0"/>
          <w:marRight w:val="0"/>
          <w:marTop w:val="0"/>
          <w:marBottom w:val="0"/>
          <w:divBdr>
            <w:top w:val="none" w:sz="0" w:space="0" w:color="auto"/>
            <w:left w:val="none" w:sz="0" w:space="0" w:color="auto"/>
            <w:bottom w:val="none" w:sz="0" w:space="0" w:color="auto"/>
            <w:right w:val="none" w:sz="0" w:space="0" w:color="auto"/>
          </w:divBdr>
        </w:div>
        <w:div w:id="1454057910">
          <w:marLeft w:val="0"/>
          <w:marRight w:val="0"/>
          <w:marTop w:val="0"/>
          <w:marBottom w:val="0"/>
          <w:divBdr>
            <w:top w:val="none" w:sz="0" w:space="0" w:color="auto"/>
            <w:left w:val="none" w:sz="0" w:space="0" w:color="auto"/>
            <w:bottom w:val="none" w:sz="0" w:space="0" w:color="auto"/>
            <w:right w:val="none" w:sz="0" w:space="0" w:color="auto"/>
          </w:divBdr>
        </w:div>
        <w:div w:id="1912537502">
          <w:marLeft w:val="0"/>
          <w:marRight w:val="0"/>
          <w:marTop w:val="0"/>
          <w:marBottom w:val="0"/>
          <w:divBdr>
            <w:top w:val="none" w:sz="0" w:space="0" w:color="auto"/>
            <w:left w:val="none" w:sz="0" w:space="0" w:color="auto"/>
            <w:bottom w:val="none" w:sz="0" w:space="0" w:color="auto"/>
            <w:right w:val="none" w:sz="0" w:space="0" w:color="auto"/>
          </w:divBdr>
        </w:div>
        <w:div w:id="1942373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60BCF6A631F48A79D33C9FC0CB57F" ma:contentTypeVersion="22" ma:contentTypeDescription="Create a new document." ma:contentTypeScope="" ma:versionID="98e1a2ed8f6182229b604b82c35c20c4">
  <xsd:schema xmlns:xsd="http://www.w3.org/2001/XMLSchema" xmlns:xs="http://www.w3.org/2001/XMLSchema" xmlns:p="http://schemas.microsoft.com/office/2006/metadata/properties" xmlns:ns2="25653397-bec5-4234-b934-fbd3297a6256" xmlns:ns3="003d7cfa-40fb-4abe-9639-7ff7d4db3d65" xmlns:ns4="5676c158-b316-4168-9f6a-6166ebae3754" targetNamespace="http://schemas.microsoft.com/office/2006/metadata/properties" ma:root="true" ma:fieldsID="0f6ee2ca6cf254c87f3f44662c88d1d7" ns2:_="" ns3:_="" ns4:_="">
    <xsd:import namespace="25653397-bec5-4234-b934-fbd3297a6256"/>
    <xsd:import namespace="003d7cfa-40fb-4abe-9639-7ff7d4db3d65"/>
    <xsd:import namespace="5676c158-b316-4168-9f6a-6166ebae3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GenerationTime" minOccurs="0"/>
                <xsd:element ref="ns2:MediaServiceEventHashCode" minOccurs="0"/>
                <xsd:element ref="ns2:ib00b36759a649f097d53b44cb5e0d82" minOccurs="0"/>
                <xsd:element ref="ns4:TaxCatchAll" minOccurs="0"/>
                <xsd:element ref="ns2:MediaLengthInSecond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53397-bec5-4234-b934-fbd3297a62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ib00b36759a649f097d53b44cb5e0d82" ma:index="21" nillable="true" ma:taxonomy="true" ma:internalName="ib00b36759a649f097d53b44cb5e0d82" ma:taxonomyFieldName="Tags" ma:displayName="Tags" ma:readOnly="false" ma:default="" ma:fieldId="{2b00b367-59a6-49f0-97d5-3b44cb5e0d82}" ma:taxonomyMulti="true" ma:sspId="712e5fa0-40e6-492f-8b13-f6b1da81e89b" ma:termSetId="b08f6945-4495-47be-818b-7771deabcf98" ma:anchorId="00000000-0000-0000-0000-000000000000" ma:open="true" ma:isKeyword="false">
      <xsd:complexType>
        <xsd:sequence>
          <xsd:element ref="pc:Terms" minOccurs="0" maxOccurs="1"/>
        </xsd:sequence>
      </xsd:complex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12e5fa0-40e6-492f-8b13-f6b1da81e8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3d7cfa-40fb-4abe-9639-7ff7d4db3d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76c158-b316-4168-9f6a-6166ebae375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f8667d9-6c5a-4d5d-9dcb-5c077a85b115}" ma:internalName="TaxCatchAll" ma:showField="CatchAllData" ma:web="003d7cfa-40fb-4abe-9639-7ff7d4db3d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76c158-b316-4168-9f6a-6166ebae3754" xsi:nil="true"/>
    <ib00b36759a649f097d53b44cb5e0d82 xmlns="25653397-bec5-4234-b934-fbd3297a6256">
      <Terms xmlns="http://schemas.microsoft.com/office/infopath/2007/PartnerControls"/>
    </ib00b36759a649f097d53b44cb5e0d82>
    <lcf76f155ced4ddcb4097134ff3c332f xmlns="25653397-bec5-4234-b934-fbd3297a62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75145B-5080-4666-956E-3E78917FB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53397-bec5-4234-b934-fbd3297a6256"/>
    <ds:schemaRef ds:uri="003d7cfa-40fb-4abe-9639-7ff7d4db3d65"/>
    <ds:schemaRef ds:uri="5676c158-b316-4168-9f6a-6166ebae3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F9A8F-1DFC-45AA-99EF-81C80298B82A}">
  <ds:schemaRefs>
    <ds:schemaRef ds:uri="http://schemas.microsoft.com/sharepoint/v3/contenttype/forms"/>
  </ds:schemaRefs>
</ds:datastoreItem>
</file>

<file path=customXml/itemProps3.xml><?xml version="1.0" encoding="utf-8"?>
<ds:datastoreItem xmlns:ds="http://schemas.openxmlformats.org/officeDocument/2006/customXml" ds:itemID="{CFD7EC9D-122D-4CC0-8A16-A20DD21C30F3}">
  <ds:schemaRefs>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5676c158-b316-4168-9f6a-6166ebae3754"/>
    <ds:schemaRef ds:uri="003d7cfa-40fb-4abe-9639-7ff7d4db3d65"/>
    <ds:schemaRef ds:uri="25653397-bec5-4234-b934-fbd3297a625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Thatcher</dc:creator>
  <cp:keywords/>
  <dc:description/>
  <cp:lastModifiedBy>Jenn Thatcher</cp:lastModifiedBy>
  <cp:revision>2</cp:revision>
  <dcterms:created xsi:type="dcterms:W3CDTF">2025-09-10T16:05:00Z</dcterms:created>
  <dcterms:modified xsi:type="dcterms:W3CDTF">2025-09-10T16:05:00Z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0x0101000E960BCF6A631F48A79D33C9FC0CB57F</vt:lpwstr>
  </property>
  <property fmtid="{D5CDD505-2E9C-101B-9397-08002B2CF9AE}" pid="3" name="docLang">
    <vt:lpwstr>en</vt:lpwstr>
  </property>
  <property fmtid="{D5CDD505-2E9C-101B-9397-08002B2CF9AE}" pid="4" name="MediaServiceImageTags">
    <vt:lpwstr/>
  </property>
  <property fmtid="{D5CDD505-2E9C-101B-9397-08002B2CF9AE}" pid="5" name="Tags">
    <vt:lpwstr/>
  </property>
</Properties>
</file>